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8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135"/>
        <w:gridCol w:w="2832"/>
        <w:gridCol w:w="2583"/>
        <w:gridCol w:w="4111"/>
      </w:tblGrid>
      <w:tr w:rsidR="00AF68D4" w:rsidRPr="00723870" w:rsidTr="00012DB4">
        <w:tc>
          <w:tcPr>
            <w:tcW w:w="627" w:type="dxa"/>
            <w:vMerge w:val="restart"/>
            <w:shd w:val="clear" w:color="auto" w:fill="auto"/>
            <w:textDirection w:val="tbRl"/>
            <w:vAlign w:val="center"/>
          </w:tcPr>
          <w:p w:rsidR="00AF68D4" w:rsidRPr="00664AB0" w:rsidRDefault="00AF68D4" w:rsidP="00521DDE">
            <w:pPr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1</w:t>
            </w:r>
          </w:p>
        </w:tc>
        <w:tc>
          <w:tcPr>
            <w:tcW w:w="1135" w:type="dxa"/>
            <w:shd w:val="clear" w:color="auto" w:fill="auto"/>
          </w:tcPr>
          <w:p w:rsidR="00AF68D4" w:rsidRDefault="00012DB4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AF68D4" w:rsidRPr="00AF68D4" w:rsidRDefault="00AF68D4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 w:rsidRPr="00AF68D4"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 xml:space="preserve">What </w:t>
            </w:r>
            <w:r w:rsidR="00012DB4"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is the journey of a river?</w:t>
            </w:r>
          </w:p>
          <w:p w:rsidR="00391EB3" w:rsidRDefault="00996F68" w:rsidP="00012DB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>We</w:t>
            </w:r>
            <w:r w:rsidR="00012DB4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 xml:space="preserve"> will develop an </w:t>
            </w:r>
            <w:r w:rsidR="00012DB4" w:rsidRPr="00012DB4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 xml:space="preserve">understanding of rivers, their uses, features and effect on the environment. </w:t>
            </w:r>
            <w:r w:rsidR="00012DB4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>They will</w:t>
            </w:r>
            <w:r w:rsidR="00012DB4" w:rsidRPr="00012DB4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 xml:space="preserve"> study the water cycle, find out how rivers are formed, explore the journey of a river from source to mouth, investigate why rivers are important and what they are used for, river pollution and its effects, as well as choosing a river around the world to investigate in depth.</w:t>
            </w:r>
          </w:p>
          <w:p w:rsidR="00012DB4" w:rsidRDefault="00012DB4" w:rsidP="00012D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F68D4" w:rsidRPr="00AF68D4" w:rsidRDefault="00AF68D4" w:rsidP="00521DDE">
            <w:pPr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</w:pPr>
            <w:r w:rsidRPr="00AF68D4"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  <w:t>English</w:t>
            </w:r>
          </w:p>
          <w:p w:rsidR="00996F68" w:rsidRPr="00996F68" w:rsidRDefault="00996F68" w:rsidP="00996F68">
            <w:pPr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</w:pPr>
            <w:r w:rsidRPr="00996F68"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  <w:t>Poems by the Same Poet</w:t>
            </w:r>
          </w:p>
          <w:p w:rsidR="00AF68D4" w:rsidRDefault="00996F68" w:rsidP="00996F68">
            <w:pPr>
              <w:rPr>
                <w:rFonts w:ascii="Calibri" w:hAnsi="Calibri" w:cs="Calibri"/>
                <w:sz w:val="22"/>
                <w:szCs w:val="22"/>
              </w:rPr>
            </w:pPr>
            <w:r w:rsidRPr="00996F68">
              <w:rPr>
                <w:rFonts w:ascii="Calibri" w:hAnsi="Calibri" w:cs="Calibri"/>
                <w:sz w:val="22"/>
                <w:szCs w:val="22"/>
              </w:rPr>
              <w:t>We will meet Joseph Coelho! Read, watch and discuss his work (in Werewolf Club Rules). Write and perform poetry. Revise noun phrases, and brackets, dashes and commas.</w:t>
            </w:r>
          </w:p>
          <w:p w:rsidR="00996F68" w:rsidRPr="00996F68" w:rsidRDefault="00996F68" w:rsidP="00996F68">
            <w:pPr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</w:pPr>
            <w:r w:rsidRPr="00996F68"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  <w:t>Escape Room</w:t>
            </w:r>
          </w:p>
          <w:p w:rsidR="00996F68" w:rsidRDefault="00996F68" w:rsidP="00996F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will be transported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to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fantasty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world of Escape Rooms with this fast-paced and imaginative novel. Children will design their own escape room then revisit explanation and instructional texts.</w:t>
            </w:r>
          </w:p>
          <w:p w:rsidR="00996F68" w:rsidRPr="00521DDE" w:rsidRDefault="00996F68" w:rsidP="00996F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rPr>
          <w:trHeight w:val="648"/>
        </w:trPr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5415" w:type="dxa"/>
            <w:gridSpan w:val="2"/>
            <w:vMerge w:val="restart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Living Things and their Habitats</w:t>
            </w:r>
          </w:p>
          <w:p w:rsidR="00E002CC" w:rsidRDefault="00E002CC" w:rsidP="00521DDE">
            <w:pPr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</w:pPr>
            <w:r w:rsidRPr="00AF68D4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We will look at the different life cycles of mammals, amphibians, insects and birds. We will also be looking at how plants reproduce and growing some of our own.</w:t>
            </w:r>
          </w:p>
          <w:p w:rsidR="00391EB3" w:rsidRDefault="00391EB3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521D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rPr>
          <w:trHeight w:val="432"/>
        </w:trPr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B2DD0" w:rsidRDefault="00DB2DD0" w:rsidP="00384029">
            <w:pPr>
              <w:rPr>
                <w:rFonts w:ascii="Calibri" w:hAnsi="Calibri" w:cs="Calibri"/>
                <w:b/>
                <w:color w:val="0070C0"/>
                <w:sz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</w:rPr>
              <w:t>Maths</w:t>
            </w:r>
          </w:p>
          <w:p w:rsidR="00E002CC" w:rsidRPr="00DC7E2B" w:rsidRDefault="00E002CC" w:rsidP="00384029">
            <w:pPr>
              <w:rPr>
                <w:rFonts w:ascii="Calibri" w:hAnsi="Calibri" w:cs="Calibri"/>
                <w:b/>
                <w:color w:val="0070C0"/>
                <w:sz w:val="22"/>
              </w:rPr>
            </w:pPr>
            <w:r w:rsidRPr="00DC7E2B">
              <w:rPr>
                <w:rFonts w:ascii="Calibri" w:hAnsi="Calibri" w:cs="Calibri"/>
                <w:b/>
                <w:color w:val="0070C0"/>
                <w:sz w:val="22"/>
              </w:rPr>
              <w:t>Geometry</w:t>
            </w:r>
          </w:p>
          <w:p w:rsidR="00E002CC" w:rsidRPr="00DC7E2B" w:rsidRDefault="00E002CC" w:rsidP="00384029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DC7E2B">
              <w:rPr>
                <w:rFonts w:ascii="Calibri" w:hAnsi="Calibri" w:cs="Calibri"/>
                <w:color w:val="000000" w:themeColor="text1"/>
                <w:sz w:val="22"/>
              </w:rPr>
              <w:t>We will learn how to identify 3D shapes in 2D representations.</w:t>
            </w:r>
          </w:p>
          <w:p w:rsidR="00E002CC" w:rsidRDefault="00E002CC" w:rsidP="00384029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DC7E2B">
              <w:rPr>
                <w:rFonts w:ascii="Calibri" w:hAnsi="Calibri" w:cs="Calibri"/>
                <w:color w:val="000000" w:themeColor="text1"/>
                <w:sz w:val="22"/>
              </w:rPr>
              <w:t>We will learn how to measure, draw and calculate angles using a protractor. We will also use the properties of rectangles to calculate missing lengths and angles.</w:t>
            </w:r>
          </w:p>
          <w:p w:rsidR="00DB2DD0" w:rsidRPr="00647A5F" w:rsidRDefault="00DB2DD0" w:rsidP="00DB2DD0">
            <w:pPr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</w:pPr>
            <w:r w:rsidRPr="00647A5F">
              <w:rPr>
                <w:rFonts w:ascii="Calibri" w:hAnsi="Calibri" w:cs="Calibri"/>
                <w:b/>
                <w:color w:val="4472C4" w:themeColor="accent5"/>
                <w:sz w:val="22"/>
                <w:szCs w:val="22"/>
              </w:rPr>
              <w:t>Position and Direction</w:t>
            </w:r>
          </w:p>
          <w:p w:rsidR="00DB2DD0" w:rsidRPr="00647A5F" w:rsidRDefault="00DB2DD0" w:rsidP="00DB2DD0">
            <w:pPr>
              <w:rPr>
                <w:rFonts w:ascii="Calibri" w:hAnsi="Calibri" w:cs="Calibri"/>
                <w:sz w:val="22"/>
                <w:szCs w:val="22"/>
              </w:rPr>
            </w:pPr>
            <w:r w:rsidRPr="00647A5F">
              <w:rPr>
                <w:rFonts w:ascii="Calibri" w:hAnsi="Calibri" w:cs="Calibri"/>
                <w:sz w:val="22"/>
                <w:szCs w:val="22"/>
              </w:rPr>
              <w:t xml:space="preserve">We will be learning about quadrants, translation and reflection with coordinates. </w:t>
            </w:r>
          </w:p>
          <w:p w:rsidR="00DB2DD0" w:rsidRPr="00521DDE" w:rsidRDefault="00DB2DD0" w:rsidP="003840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002CC" w:rsidRPr="00D837E4" w:rsidRDefault="009533AC" w:rsidP="00D837E4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How can following God bring freedom and justice?</w:t>
            </w:r>
          </w:p>
          <w:p w:rsidR="00E002CC" w:rsidRDefault="00E002CC" w:rsidP="00D837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</w:t>
            </w:r>
            <w:r w:rsidR="009533AC">
              <w:rPr>
                <w:rFonts w:ascii="Calibri" w:hAnsi="Calibri" w:cs="Calibri"/>
                <w:sz w:val="22"/>
                <w:szCs w:val="22"/>
              </w:rPr>
              <w:t xml:space="preserve"> will find about the story of </w:t>
            </w:r>
            <w:proofErr w:type="gramStart"/>
            <w:r w:rsidR="009533AC">
              <w:rPr>
                <w:rFonts w:ascii="Calibri" w:hAnsi="Calibri" w:cs="Calibri"/>
                <w:sz w:val="22"/>
                <w:szCs w:val="22"/>
              </w:rPr>
              <w:t>Exodus</w:t>
            </w:r>
            <w:r w:rsidRPr="00D837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33AC">
              <w:rPr>
                <w:rFonts w:ascii="Calibri" w:hAnsi="Calibri" w:cs="Calibri"/>
                <w:sz w:val="22"/>
                <w:szCs w:val="22"/>
              </w:rPr>
              <w:t>and how this is connected to Christian beliefs in freedom and justice</w:t>
            </w:r>
            <w:proofErr w:type="gramEnd"/>
            <w:r w:rsidR="009533AC">
              <w:rPr>
                <w:rFonts w:ascii="Calibri" w:hAnsi="Calibri" w:cs="Calibri"/>
                <w:sz w:val="22"/>
                <w:szCs w:val="22"/>
              </w:rPr>
              <w:t xml:space="preserve">. We will explore why Christians believe God can help us during difficult times. </w:t>
            </w:r>
          </w:p>
          <w:p w:rsidR="00E002CC" w:rsidRPr="00D837E4" w:rsidRDefault="00E002CC" w:rsidP="00D837E4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3840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002CC" w:rsidRPr="00DC7E2B" w:rsidRDefault="00E002CC" w:rsidP="00D837E4">
            <w:pPr>
              <w:rPr>
                <w:rFonts w:ascii="Calibri" w:hAnsi="Calibri" w:cs="Calibri"/>
                <w:b/>
                <w:sz w:val="22"/>
              </w:rPr>
            </w:pPr>
            <w:r w:rsidRPr="00DC7E2B">
              <w:rPr>
                <w:rFonts w:ascii="Calibri" w:hAnsi="Calibri" w:cs="Calibri"/>
                <w:b/>
                <w:color w:val="4472C4"/>
                <w:sz w:val="22"/>
              </w:rPr>
              <w:t>Dancing in the Street</w:t>
            </w:r>
          </w:p>
          <w:p w:rsidR="00E002CC" w:rsidRDefault="00E002CC" w:rsidP="00D837E4">
            <w:pPr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</w:pPr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 xml:space="preserve">We will focus on Dancing In The Street by Martha And The </w:t>
            </w:r>
            <w:proofErr w:type="spellStart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Vandellas</w:t>
            </w:r>
            <w:proofErr w:type="spellEnd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 xml:space="preserve"> and other </w:t>
            </w:r>
            <w:proofErr w:type="spellStart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Motown</w:t>
            </w:r>
            <w:proofErr w:type="spellEnd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 xml:space="preserve"> classics. Children will learn to sing, play, improvise and compose their own </w:t>
            </w:r>
            <w:proofErr w:type="spellStart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verison</w:t>
            </w:r>
            <w:proofErr w:type="spellEnd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 xml:space="preserve"> of this song, as well as listen to and appraise other Old School Hip Hop Tracks.</w:t>
            </w:r>
          </w:p>
          <w:p w:rsidR="00E002CC" w:rsidRDefault="00E002CC" w:rsidP="00D837E4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3840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rPr>
          <w:trHeight w:val="552"/>
        </w:trPr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Computing</w:t>
            </w:r>
          </w:p>
        </w:tc>
        <w:tc>
          <w:tcPr>
            <w:tcW w:w="5415" w:type="dxa"/>
            <w:gridSpan w:val="2"/>
            <w:vMerge w:val="restart"/>
            <w:shd w:val="clear" w:color="auto" w:fill="auto"/>
          </w:tcPr>
          <w:p w:rsidR="00012DB4" w:rsidRPr="00012DB4" w:rsidRDefault="00012DB4" w:rsidP="00012DB4">
            <w:pPr>
              <w:rPr>
                <w:rFonts w:ascii="Calibri" w:hAnsi="Calibri" w:cs="Calibri"/>
                <w:b/>
                <w:i/>
                <w:color w:val="4472C4"/>
                <w:sz w:val="22"/>
                <w:szCs w:val="22"/>
              </w:rPr>
            </w:pPr>
            <w:r w:rsidRPr="00012DB4"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Spreadsheets – Crash Course</w:t>
            </w: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4472C4"/>
                <w:sz w:val="22"/>
                <w:szCs w:val="22"/>
              </w:rPr>
              <w:t>Continued</w:t>
            </w:r>
          </w:p>
          <w:p w:rsidR="00E002CC" w:rsidRPr="00012DB4" w:rsidRDefault="00012DB4" w:rsidP="00012DB4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012DB4">
              <w:rPr>
                <w:rFonts w:ascii="Calibri" w:hAnsi="Calibri" w:cs="Calibri"/>
                <w:sz w:val="22"/>
                <w:szCs w:val="22"/>
              </w:rPr>
              <w:t xml:space="preserve">Children will use 2Calculate to complete their first Purple Mash Spreadsheet unit. They will focus on the core spreadsheet skills that </w:t>
            </w:r>
            <w:proofErr w:type="gramStart"/>
            <w:r w:rsidRPr="00012DB4">
              <w:rPr>
                <w:rFonts w:ascii="Calibri" w:hAnsi="Calibri" w:cs="Calibri"/>
                <w:sz w:val="22"/>
                <w:szCs w:val="22"/>
              </w:rPr>
              <w:t>can be applied</w:t>
            </w:r>
            <w:proofErr w:type="gramEnd"/>
            <w:r w:rsidRPr="00012DB4">
              <w:rPr>
                <w:rFonts w:ascii="Calibri" w:hAnsi="Calibri" w:cs="Calibri"/>
                <w:sz w:val="22"/>
                <w:szCs w:val="22"/>
              </w:rPr>
              <w:t xml:space="preserve"> to other spreadsheets that they will encounter in future learning.</w:t>
            </w: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3840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rPr>
          <w:trHeight w:val="1860"/>
        </w:trPr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002CC" w:rsidRPr="00996F68" w:rsidRDefault="00012DB4" w:rsidP="00E002C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996F68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Art</w:t>
            </w:r>
          </w:p>
          <w:p w:rsidR="00012DB4" w:rsidRPr="00996F68" w:rsidRDefault="00012DB4" w:rsidP="00012D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6F68"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Objects and Meaning</w:t>
            </w:r>
          </w:p>
          <w:p w:rsidR="00E002CC" w:rsidRPr="00521DDE" w:rsidRDefault="00012DB4" w:rsidP="00C914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6F68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 xml:space="preserve">Covering a wide range of areas, </w:t>
            </w:r>
            <w:r w:rsidR="00996F68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>we</w:t>
            </w:r>
            <w:r w:rsidR="00C9149A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 xml:space="preserve"> </w:t>
            </w:r>
            <w:r w:rsidRPr="00996F68">
              <w:rPr>
                <w:rFonts w:ascii="Calibri" w:hAnsi="Calibri" w:cs="Arial"/>
                <w:color w:val="353535"/>
                <w:sz w:val="22"/>
                <w:szCs w:val="22"/>
                <w:shd w:val="clear" w:color="auto" w:fill="FFFFFF"/>
              </w:rPr>
              <w:t>will have the chance to explore colour, composition, control, form and style as they study a variety of different still life paintings. Throughout the unit, children will have the chance to develop their control over a variety of tools and techniques as they delve into different areas of still life art.</w:t>
            </w:r>
          </w:p>
        </w:tc>
      </w:tr>
      <w:tr w:rsidR="00E002CC" w:rsidRPr="00723870" w:rsidTr="00012DB4"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PSHE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E002CC" w:rsidRPr="00DC7E2B" w:rsidRDefault="00E002CC" w:rsidP="00E002CC">
            <w:pPr>
              <w:rPr>
                <w:rFonts w:ascii="Calibri" w:hAnsi="Calibri" w:cs="Calibri"/>
                <w:b/>
                <w:sz w:val="22"/>
              </w:rPr>
            </w:pPr>
            <w:r w:rsidRPr="00DC7E2B">
              <w:rPr>
                <w:rFonts w:ascii="Calibri" w:hAnsi="Calibri" w:cs="Calibri"/>
                <w:b/>
                <w:color w:val="4472C4"/>
                <w:sz w:val="22"/>
              </w:rPr>
              <w:t>Living in the Wider World</w:t>
            </w:r>
          </w:p>
          <w:p w:rsidR="00E002CC" w:rsidRDefault="00E002CC" w:rsidP="00E002CC">
            <w:pPr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</w:pPr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 xml:space="preserve">We will be exploring how rules and laws </w:t>
            </w:r>
            <w:proofErr w:type="gramStart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are made and changed</w:t>
            </w:r>
            <w:proofErr w:type="gramEnd"/>
            <w:r w:rsidRPr="00DC7E2B">
              <w:rPr>
                <w:rFonts w:ascii="Calibri" w:hAnsi="Calibri" w:cs="Arial"/>
                <w:color w:val="353535"/>
                <w:sz w:val="22"/>
                <w:shd w:val="clear" w:color="auto" w:fill="FFFFFF"/>
              </w:rPr>
              <w:t>. We will also find out about Fairtrade and sustainability.</w:t>
            </w:r>
          </w:p>
          <w:p w:rsidR="00E002CC" w:rsidRPr="00384029" w:rsidRDefault="00E002CC" w:rsidP="00E002CC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521D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02CC" w:rsidRPr="00723870" w:rsidTr="00012DB4">
        <w:tc>
          <w:tcPr>
            <w:tcW w:w="627" w:type="dxa"/>
            <w:vMerge/>
            <w:shd w:val="clear" w:color="auto" w:fill="auto"/>
            <w:textDirection w:val="tbRl"/>
            <w:vAlign w:val="center"/>
          </w:tcPr>
          <w:p w:rsidR="00E002CC" w:rsidRPr="00664AB0" w:rsidRDefault="00E002CC" w:rsidP="00521DDE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:rsidR="00E002CC" w:rsidRDefault="00E002CC" w:rsidP="00521D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</w:t>
            </w:r>
          </w:p>
        </w:tc>
        <w:tc>
          <w:tcPr>
            <w:tcW w:w="2832" w:type="dxa"/>
            <w:shd w:val="clear" w:color="auto" w:fill="auto"/>
          </w:tcPr>
          <w:p w:rsidR="00E002CC" w:rsidRDefault="00012DB4" w:rsidP="00AF68D4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Rounders</w:t>
            </w:r>
            <w:proofErr w:type="spellEnd"/>
          </w:p>
          <w:p w:rsidR="00391EB3" w:rsidRDefault="00E002CC" w:rsidP="00AF68D4">
            <w:pPr>
              <w:rPr>
                <w:rFonts w:ascii="Calibri" w:hAnsi="Calibri" w:cs="Calibri"/>
                <w:sz w:val="22"/>
                <w:szCs w:val="22"/>
              </w:rPr>
            </w:pPr>
            <w:r w:rsidRPr="00FC3FEE">
              <w:rPr>
                <w:rFonts w:ascii="Calibri" w:hAnsi="Calibri" w:cs="Calibri"/>
                <w:sz w:val="22"/>
                <w:szCs w:val="22"/>
              </w:rPr>
              <w:t xml:space="preserve">We will </w:t>
            </w:r>
            <w:r w:rsidR="00996F68" w:rsidRPr="00996F68">
              <w:rPr>
                <w:rFonts w:ascii="Calibri" w:hAnsi="Calibri" w:cs="Calibri"/>
                <w:sz w:val="22"/>
                <w:szCs w:val="22"/>
              </w:rPr>
              <w:t xml:space="preserve">learn correct techniques for different types of throws and catches, practise batting and bowling techniques and learn all about the roles and responsibilities of different fielding positions. </w:t>
            </w:r>
            <w:bookmarkStart w:id="0" w:name="_GoBack"/>
            <w:bookmarkEnd w:id="0"/>
          </w:p>
          <w:p w:rsidR="00391EB3" w:rsidRDefault="00391EB3" w:rsidP="00AF68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EB3" w:rsidRDefault="00391EB3" w:rsidP="00AF68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EB3" w:rsidRDefault="00391EB3" w:rsidP="00AF68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02CC" w:rsidRPr="00FC3FEE" w:rsidRDefault="00E002CC" w:rsidP="00AF68D4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E002CC" w:rsidRDefault="00012DB4" w:rsidP="00521DDE">
            <w:pPr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Gymnastics</w:t>
            </w:r>
          </w:p>
          <w:p w:rsidR="00E002CC" w:rsidRPr="000733B2" w:rsidRDefault="00E002CC" w:rsidP="00996F68">
            <w:pPr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0733B2">
              <w:rPr>
                <w:rFonts w:ascii="Calibri" w:hAnsi="Calibri" w:cs="Calibri"/>
                <w:sz w:val="22"/>
                <w:szCs w:val="22"/>
              </w:rPr>
              <w:t xml:space="preserve">We will </w:t>
            </w:r>
            <w:r w:rsidR="00996F68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="00996F68" w:rsidRPr="00996F68">
              <w:rPr>
                <w:rFonts w:ascii="Calibri" w:hAnsi="Calibri" w:cs="Calibri"/>
                <w:sz w:val="22"/>
                <w:szCs w:val="22"/>
              </w:rPr>
              <w:t xml:space="preserve">developing </w:t>
            </w:r>
            <w:r w:rsidR="00996F68">
              <w:rPr>
                <w:rFonts w:ascii="Calibri" w:hAnsi="Calibri" w:cs="Calibri"/>
                <w:sz w:val="22"/>
                <w:szCs w:val="22"/>
              </w:rPr>
              <w:t>our</w:t>
            </w:r>
            <w:r w:rsidR="00996F68" w:rsidRPr="00996F68">
              <w:rPr>
                <w:rFonts w:ascii="Calibri" w:hAnsi="Calibri" w:cs="Calibri"/>
                <w:sz w:val="22"/>
                <w:szCs w:val="22"/>
              </w:rPr>
              <w:t xml:space="preserve"> understanding of the necessary flexibility, strength and control needed to perform movements successfully. </w:t>
            </w:r>
            <w:r w:rsidR="00996F68">
              <w:rPr>
                <w:rFonts w:ascii="Calibri" w:hAnsi="Calibri" w:cs="Calibri"/>
                <w:sz w:val="22"/>
                <w:szCs w:val="22"/>
              </w:rPr>
              <w:t>We’ll</w:t>
            </w:r>
            <w:r w:rsidR="00996F68" w:rsidRPr="00996F68">
              <w:rPr>
                <w:rFonts w:ascii="Calibri" w:hAnsi="Calibri" w:cs="Calibri"/>
                <w:sz w:val="22"/>
                <w:szCs w:val="22"/>
              </w:rPr>
              <w:t xml:space="preserve"> also have the opportunity to choreograph their own sequences and routines</w:t>
            </w:r>
          </w:p>
        </w:tc>
        <w:tc>
          <w:tcPr>
            <w:tcW w:w="4111" w:type="dxa"/>
            <w:vMerge/>
            <w:shd w:val="clear" w:color="auto" w:fill="auto"/>
          </w:tcPr>
          <w:p w:rsidR="00E002CC" w:rsidRPr="00521DDE" w:rsidRDefault="00E002CC" w:rsidP="00521D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16CC" w:rsidRPr="00723870" w:rsidRDefault="00C716CC">
      <w:pPr>
        <w:rPr>
          <w:rFonts w:ascii="Calibri" w:hAnsi="Calibri" w:cs="Calibri"/>
          <w:sz w:val="20"/>
          <w:szCs w:val="20"/>
        </w:rPr>
      </w:pPr>
    </w:p>
    <w:sectPr w:rsidR="00C716CC" w:rsidRPr="00723870" w:rsidSect="00FA60AC">
      <w:headerReference w:type="default" r:id="rId8"/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68" w:rsidRDefault="00521C68">
      <w:r>
        <w:separator/>
      </w:r>
    </w:p>
  </w:endnote>
  <w:endnote w:type="continuationSeparator" w:id="0">
    <w:p w:rsidR="00521C68" w:rsidRDefault="005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68" w:rsidRDefault="00521C68">
      <w:r>
        <w:separator/>
      </w:r>
    </w:p>
  </w:footnote>
  <w:footnote w:type="continuationSeparator" w:id="0">
    <w:p w:rsidR="00521C68" w:rsidRDefault="005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B0" w:rsidRPr="00C62AE2" w:rsidRDefault="001A4FB0">
    <w:pPr>
      <w:pStyle w:val="Header"/>
      <w:rPr>
        <w:rFonts w:asciiTheme="minorHAnsi" w:hAnsiTheme="minorHAnsi" w:cstheme="minorHAnsi"/>
      </w:rPr>
    </w:pPr>
    <w:r w:rsidRPr="00C62AE2">
      <w:rPr>
        <w:rFonts w:asciiTheme="minorHAnsi" w:hAnsiTheme="minorHAnsi" w:cstheme="minorHAnsi"/>
      </w:rPr>
      <w:t xml:space="preserve">Year </w:t>
    </w:r>
    <w:r w:rsidR="00C72C9F">
      <w:rPr>
        <w:rFonts w:asciiTheme="minorHAnsi" w:hAnsiTheme="minorHAnsi" w:cstheme="minorHAnsi"/>
      </w:rPr>
      <w:t>5</w:t>
    </w:r>
    <w:r w:rsidRPr="00C62AE2">
      <w:rPr>
        <w:rFonts w:asciiTheme="minorHAnsi" w:hAnsiTheme="minorHAnsi" w:cstheme="minorHAnsi"/>
      </w:rPr>
      <w:t xml:space="preserve"> </w:t>
    </w:r>
    <w:r w:rsidR="00091DA6" w:rsidRPr="00C62AE2">
      <w:rPr>
        <w:rFonts w:asciiTheme="minorHAnsi" w:hAnsiTheme="minorHAnsi" w:cstheme="minorHAnsi"/>
      </w:rPr>
      <w:t xml:space="preserve">Curriculum </w:t>
    </w:r>
    <w:r w:rsidR="00CD0D14">
      <w:rPr>
        <w:rFonts w:asciiTheme="minorHAnsi" w:hAnsiTheme="minorHAnsi" w:cstheme="minorHAnsi"/>
      </w:rPr>
      <w:t xml:space="preserve">Summer </w:t>
    </w:r>
    <w:r w:rsidR="009533AC">
      <w:rPr>
        <w:rFonts w:asciiTheme="minorHAnsi" w:hAnsiTheme="minorHAnsi" w:cstheme="minorHAnsi"/>
      </w:rPr>
      <w:t>1</w:t>
    </w:r>
    <w:r w:rsidR="00B37D63">
      <w:rPr>
        <w:rFonts w:asciiTheme="minorHAnsi" w:hAnsiTheme="minorHAnsi" w:cstheme="minorHAnsi"/>
      </w:rPr>
      <w:t xml:space="preserve"> </w:t>
    </w:r>
    <w:r w:rsidR="002136AC">
      <w:rPr>
        <w:rFonts w:asciiTheme="minorHAnsi" w:hAnsiTheme="minorHAnsi" w:cstheme="minorHAnsi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CCC"/>
    <w:multiLevelType w:val="hybridMultilevel"/>
    <w:tmpl w:val="2D48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4DB"/>
    <w:multiLevelType w:val="hybridMultilevel"/>
    <w:tmpl w:val="B222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D5F"/>
    <w:multiLevelType w:val="hybridMultilevel"/>
    <w:tmpl w:val="78B2C016"/>
    <w:lvl w:ilvl="0" w:tplc="22F685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E56"/>
    <w:multiLevelType w:val="hybridMultilevel"/>
    <w:tmpl w:val="ABD4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B49"/>
    <w:multiLevelType w:val="hybridMultilevel"/>
    <w:tmpl w:val="7FB2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619F"/>
    <w:multiLevelType w:val="hybridMultilevel"/>
    <w:tmpl w:val="E496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1454"/>
    <w:multiLevelType w:val="hybridMultilevel"/>
    <w:tmpl w:val="0A5C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09A3"/>
    <w:multiLevelType w:val="hybridMultilevel"/>
    <w:tmpl w:val="8FA650A6"/>
    <w:lvl w:ilvl="0" w:tplc="38627F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5727"/>
    <w:multiLevelType w:val="hybridMultilevel"/>
    <w:tmpl w:val="96F8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479B"/>
    <w:multiLevelType w:val="hybridMultilevel"/>
    <w:tmpl w:val="ACA0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2D4"/>
    <w:multiLevelType w:val="hybridMultilevel"/>
    <w:tmpl w:val="C882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2075"/>
    <w:multiLevelType w:val="hybridMultilevel"/>
    <w:tmpl w:val="4FD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1E0F"/>
    <w:multiLevelType w:val="hybridMultilevel"/>
    <w:tmpl w:val="D51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7030"/>
    <w:multiLevelType w:val="hybridMultilevel"/>
    <w:tmpl w:val="49A2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12A4"/>
    <w:multiLevelType w:val="hybridMultilevel"/>
    <w:tmpl w:val="7656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D95"/>
    <w:multiLevelType w:val="hybridMultilevel"/>
    <w:tmpl w:val="9A2403DC"/>
    <w:lvl w:ilvl="0" w:tplc="6AA4AF7A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41CA"/>
    <w:multiLevelType w:val="hybridMultilevel"/>
    <w:tmpl w:val="1682DB1E"/>
    <w:lvl w:ilvl="0" w:tplc="6AA4AF7A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6DE6"/>
    <w:multiLevelType w:val="hybridMultilevel"/>
    <w:tmpl w:val="618CA1C8"/>
    <w:lvl w:ilvl="0" w:tplc="D4AEC4E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B8"/>
    <w:rsid w:val="00006230"/>
    <w:rsid w:val="00012DB4"/>
    <w:rsid w:val="00020405"/>
    <w:rsid w:val="0003237E"/>
    <w:rsid w:val="00052031"/>
    <w:rsid w:val="00061B24"/>
    <w:rsid w:val="000733B2"/>
    <w:rsid w:val="000807F9"/>
    <w:rsid w:val="00091DA6"/>
    <w:rsid w:val="000A563B"/>
    <w:rsid w:val="000B4938"/>
    <w:rsid w:val="000D4782"/>
    <w:rsid w:val="000D6040"/>
    <w:rsid w:val="000D6F3F"/>
    <w:rsid w:val="000E5BB9"/>
    <w:rsid w:val="00101942"/>
    <w:rsid w:val="0014481C"/>
    <w:rsid w:val="0015489F"/>
    <w:rsid w:val="00180B3B"/>
    <w:rsid w:val="0018387E"/>
    <w:rsid w:val="001A4FB0"/>
    <w:rsid w:val="001B153A"/>
    <w:rsid w:val="001B2862"/>
    <w:rsid w:val="001B51C5"/>
    <w:rsid w:val="001D5750"/>
    <w:rsid w:val="001E76A7"/>
    <w:rsid w:val="0020195A"/>
    <w:rsid w:val="002063D4"/>
    <w:rsid w:val="002136AC"/>
    <w:rsid w:val="002226C8"/>
    <w:rsid w:val="002363F5"/>
    <w:rsid w:val="00242A3D"/>
    <w:rsid w:val="0026528D"/>
    <w:rsid w:val="0026634C"/>
    <w:rsid w:val="002751E1"/>
    <w:rsid w:val="002A38D3"/>
    <w:rsid w:val="002A78AA"/>
    <w:rsid w:val="003127BB"/>
    <w:rsid w:val="00370735"/>
    <w:rsid w:val="00370E8A"/>
    <w:rsid w:val="00371110"/>
    <w:rsid w:val="003756E5"/>
    <w:rsid w:val="00383FB2"/>
    <w:rsid w:val="00384029"/>
    <w:rsid w:val="00391EB3"/>
    <w:rsid w:val="00392E46"/>
    <w:rsid w:val="003A0A30"/>
    <w:rsid w:val="003B4994"/>
    <w:rsid w:val="003C1CE2"/>
    <w:rsid w:val="003C3A56"/>
    <w:rsid w:val="003C54B6"/>
    <w:rsid w:val="003C5ED5"/>
    <w:rsid w:val="003D1CB8"/>
    <w:rsid w:val="003F1E44"/>
    <w:rsid w:val="00406249"/>
    <w:rsid w:val="00411D8B"/>
    <w:rsid w:val="00417FC6"/>
    <w:rsid w:val="004245F5"/>
    <w:rsid w:val="00435BD4"/>
    <w:rsid w:val="004365C9"/>
    <w:rsid w:val="00451C83"/>
    <w:rsid w:val="00452B53"/>
    <w:rsid w:val="00453EBD"/>
    <w:rsid w:val="00457A0D"/>
    <w:rsid w:val="00475479"/>
    <w:rsid w:val="004774C0"/>
    <w:rsid w:val="00490622"/>
    <w:rsid w:val="00492334"/>
    <w:rsid w:val="004A61DF"/>
    <w:rsid w:val="004A77B3"/>
    <w:rsid w:val="004C4B53"/>
    <w:rsid w:val="004D1C2F"/>
    <w:rsid w:val="005008DA"/>
    <w:rsid w:val="005104EA"/>
    <w:rsid w:val="00516044"/>
    <w:rsid w:val="00521C68"/>
    <w:rsid w:val="00521DDE"/>
    <w:rsid w:val="00530CEA"/>
    <w:rsid w:val="005349C9"/>
    <w:rsid w:val="00541B6C"/>
    <w:rsid w:val="005442F8"/>
    <w:rsid w:val="005452F2"/>
    <w:rsid w:val="00545C21"/>
    <w:rsid w:val="005508D5"/>
    <w:rsid w:val="00552B5D"/>
    <w:rsid w:val="005530C4"/>
    <w:rsid w:val="00567F2B"/>
    <w:rsid w:val="0057105D"/>
    <w:rsid w:val="005B1369"/>
    <w:rsid w:val="005B6BBC"/>
    <w:rsid w:val="005C1857"/>
    <w:rsid w:val="005D3E43"/>
    <w:rsid w:val="00600F3F"/>
    <w:rsid w:val="00611C69"/>
    <w:rsid w:val="00614AD8"/>
    <w:rsid w:val="00620BD3"/>
    <w:rsid w:val="00647A5F"/>
    <w:rsid w:val="00664AB0"/>
    <w:rsid w:val="00681EEF"/>
    <w:rsid w:val="00694109"/>
    <w:rsid w:val="006967AB"/>
    <w:rsid w:val="006D6E09"/>
    <w:rsid w:val="006F2225"/>
    <w:rsid w:val="00700987"/>
    <w:rsid w:val="00704D7E"/>
    <w:rsid w:val="0070689C"/>
    <w:rsid w:val="00707D0D"/>
    <w:rsid w:val="00722D43"/>
    <w:rsid w:val="00722F5E"/>
    <w:rsid w:val="00723870"/>
    <w:rsid w:val="00725629"/>
    <w:rsid w:val="0073153A"/>
    <w:rsid w:val="00753318"/>
    <w:rsid w:val="00776A3C"/>
    <w:rsid w:val="00781BB3"/>
    <w:rsid w:val="00791A3A"/>
    <w:rsid w:val="007A03D0"/>
    <w:rsid w:val="007C0497"/>
    <w:rsid w:val="007C4716"/>
    <w:rsid w:val="007C5554"/>
    <w:rsid w:val="007E3790"/>
    <w:rsid w:val="007F2ABC"/>
    <w:rsid w:val="008009E3"/>
    <w:rsid w:val="008106EC"/>
    <w:rsid w:val="008147B1"/>
    <w:rsid w:val="008152FA"/>
    <w:rsid w:val="008276BC"/>
    <w:rsid w:val="00831605"/>
    <w:rsid w:val="00833985"/>
    <w:rsid w:val="00860DFD"/>
    <w:rsid w:val="008667E0"/>
    <w:rsid w:val="00874576"/>
    <w:rsid w:val="00892689"/>
    <w:rsid w:val="008979BB"/>
    <w:rsid w:val="008B68D9"/>
    <w:rsid w:val="008B7C78"/>
    <w:rsid w:val="008D3B93"/>
    <w:rsid w:val="008F3B70"/>
    <w:rsid w:val="00901009"/>
    <w:rsid w:val="00901D4C"/>
    <w:rsid w:val="009128B3"/>
    <w:rsid w:val="00914225"/>
    <w:rsid w:val="009158E9"/>
    <w:rsid w:val="00925AB0"/>
    <w:rsid w:val="00941307"/>
    <w:rsid w:val="0094158B"/>
    <w:rsid w:val="009431FA"/>
    <w:rsid w:val="0094708F"/>
    <w:rsid w:val="009533AC"/>
    <w:rsid w:val="00953A25"/>
    <w:rsid w:val="00980150"/>
    <w:rsid w:val="00980D57"/>
    <w:rsid w:val="00984692"/>
    <w:rsid w:val="00996F68"/>
    <w:rsid w:val="009A698B"/>
    <w:rsid w:val="009A702F"/>
    <w:rsid w:val="009A7CA9"/>
    <w:rsid w:val="009C4559"/>
    <w:rsid w:val="00A11382"/>
    <w:rsid w:val="00A23A4E"/>
    <w:rsid w:val="00A47552"/>
    <w:rsid w:val="00A5176A"/>
    <w:rsid w:val="00A57DBD"/>
    <w:rsid w:val="00A64BB5"/>
    <w:rsid w:val="00A672D9"/>
    <w:rsid w:val="00A71E61"/>
    <w:rsid w:val="00A75ADE"/>
    <w:rsid w:val="00A772BF"/>
    <w:rsid w:val="00A93362"/>
    <w:rsid w:val="00AB7F63"/>
    <w:rsid w:val="00AD3989"/>
    <w:rsid w:val="00AF68D4"/>
    <w:rsid w:val="00B1348B"/>
    <w:rsid w:val="00B37D63"/>
    <w:rsid w:val="00B564B8"/>
    <w:rsid w:val="00B655EA"/>
    <w:rsid w:val="00B66E53"/>
    <w:rsid w:val="00B756FA"/>
    <w:rsid w:val="00B764E3"/>
    <w:rsid w:val="00BB6B8F"/>
    <w:rsid w:val="00BC3902"/>
    <w:rsid w:val="00BD6DE8"/>
    <w:rsid w:val="00BF3C96"/>
    <w:rsid w:val="00C02FE6"/>
    <w:rsid w:val="00C52957"/>
    <w:rsid w:val="00C530AA"/>
    <w:rsid w:val="00C62AE2"/>
    <w:rsid w:val="00C716CC"/>
    <w:rsid w:val="00C72C9F"/>
    <w:rsid w:val="00C800E8"/>
    <w:rsid w:val="00C9149A"/>
    <w:rsid w:val="00CB7C30"/>
    <w:rsid w:val="00CC154C"/>
    <w:rsid w:val="00CD0D14"/>
    <w:rsid w:val="00CD4956"/>
    <w:rsid w:val="00CE15B4"/>
    <w:rsid w:val="00CF35EB"/>
    <w:rsid w:val="00D54427"/>
    <w:rsid w:val="00D545F5"/>
    <w:rsid w:val="00D55E9F"/>
    <w:rsid w:val="00D5673F"/>
    <w:rsid w:val="00D77C73"/>
    <w:rsid w:val="00D837E4"/>
    <w:rsid w:val="00DB2DD0"/>
    <w:rsid w:val="00DE4C6E"/>
    <w:rsid w:val="00E002CC"/>
    <w:rsid w:val="00E175A3"/>
    <w:rsid w:val="00E24D39"/>
    <w:rsid w:val="00E26D80"/>
    <w:rsid w:val="00E51BE0"/>
    <w:rsid w:val="00E61D2D"/>
    <w:rsid w:val="00E72E64"/>
    <w:rsid w:val="00E83B95"/>
    <w:rsid w:val="00E955AA"/>
    <w:rsid w:val="00EB588B"/>
    <w:rsid w:val="00ED1501"/>
    <w:rsid w:val="00ED2D08"/>
    <w:rsid w:val="00F00A0D"/>
    <w:rsid w:val="00F32B48"/>
    <w:rsid w:val="00F453B3"/>
    <w:rsid w:val="00F5762A"/>
    <w:rsid w:val="00F6533C"/>
    <w:rsid w:val="00F706BE"/>
    <w:rsid w:val="00F73896"/>
    <w:rsid w:val="00F752FF"/>
    <w:rsid w:val="00F85104"/>
    <w:rsid w:val="00F9068D"/>
    <w:rsid w:val="00F92E0B"/>
    <w:rsid w:val="00FA60AC"/>
    <w:rsid w:val="00FC367B"/>
    <w:rsid w:val="00FC3FEE"/>
    <w:rsid w:val="00FC5236"/>
    <w:rsid w:val="00FC55D5"/>
    <w:rsid w:val="00FC7C1F"/>
    <w:rsid w:val="00FD5BD8"/>
    <w:rsid w:val="00FE4106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9202C"/>
  <w15:chartTrackingRefBased/>
  <w15:docId w15:val="{66D8F68D-8508-420D-8DD9-0ABE41F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07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073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80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E175A3"/>
  </w:style>
  <w:style w:type="paragraph" w:styleId="ListParagraph">
    <w:name w:val="List Paragraph"/>
    <w:basedOn w:val="Normal"/>
    <w:uiPriority w:val="34"/>
    <w:qFormat/>
    <w:rsid w:val="00925AB0"/>
    <w:pPr>
      <w:ind w:left="720"/>
      <w:contextualSpacing/>
    </w:pPr>
    <w:rPr>
      <w:lang w:val="en-US" w:eastAsia="en-US"/>
    </w:rPr>
  </w:style>
  <w:style w:type="paragraph" w:styleId="BodyText">
    <w:name w:val="Body Text"/>
    <w:basedOn w:val="Normal"/>
    <w:link w:val="BodyTextChar"/>
    <w:rsid w:val="002A78AA"/>
    <w:pPr>
      <w:spacing w:line="360" w:lineRule="atLeast"/>
    </w:pPr>
    <w:rPr>
      <w:rFonts w:ascii="Arial" w:hAnsi="Arial"/>
      <w:snapToGrid w:val="0"/>
      <w:color w:val="000000"/>
      <w:szCs w:val="20"/>
      <w:lang w:val="en-AU" w:eastAsia="en-US"/>
    </w:rPr>
  </w:style>
  <w:style w:type="character" w:customStyle="1" w:styleId="BodyTextChar">
    <w:name w:val="Body Text Char"/>
    <w:link w:val="BodyText"/>
    <w:rsid w:val="002A78AA"/>
    <w:rPr>
      <w:rFonts w:ascii="Arial" w:hAnsi="Arial"/>
      <w:snapToGrid w:val="0"/>
      <w:color w:val="000000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A9A8-A52D-4959-8D09-2AA686B6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</vt:lpstr>
    </vt:vector>
  </TitlesOfParts>
  <Company>Primary School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</dc:title>
  <dc:subject/>
  <dc:creator>s.dodds</dc:creator>
  <cp:keywords/>
  <cp:lastModifiedBy>S Hudson-Dodds</cp:lastModifiedBy>
  <cp:revision>2</cp:revision>
  <cp:lastPrinted>2015-03-30T14:38:00Z</cp:lastPrinted>
  <dcterms:created xsi:type="dcterms:W3CDTF">2024-04-23T09:27:00Z</dcterms:created>
  <dcterms:modified xsi:type="dcterms:W3CDTF">2024-04-23T09:27:00Z</dcterms:modified>
</cp:coreProperties>
</file>